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2B62A" w14:textId="0633C94A" w:rsidR="00473061" w:rsidRDefault="00473061" w:rsidP="00473061">
      <w:pPr>
        <w:spacing w:after="0" w:line="240" w:lineRule="auto"/>
        <w:jc w:val="right"/>
        <w:rPr>
          <w:rFonts w:ascii="Times New Roman" w:hAnsi="Times New Roman" w:cs="Times New Roman"/>
          <w:b/>
          <w:i/>
          <w:sz w:val="28"/>
          <w:szCs w:val="28"/>
          <w:lang w:val="kk-KZ"/>
        </w:rPr>
      </w:pPr>
      <w:r w:rsidRPr="00473061">
        <w:rPr>
          <w:rFonts w:ascii="Times New Roman" w:hAnsi="Times New Roman" w:cs="Times New Roman"/>
          <w:b/>
          <w:i/>
          <w:sz w:val="28"/>
          <w:szCs w:val="28"/>
          <w:lang w:val="kk-KZ"/>
        </w:rPr>
        <w:t xml:space="preserve"> 1</w:t>
      </w:r>
      <w:r w:rsidR="00BB678F">
        <w:rPr>
          <w:rFonts w:ascii="Times New Roman" w:hAnsi="Times New Roman" w:cs="Times New Roman"/>
          <w:b/>
          <w:i/>
          <w:sz w:val="28"/>
          <w:szCs w:val="28"/>
          <w:lang w:val="kk-KZ"/>
        </w:rPr>
        <w:t>-қосымша</w:t>
      </w:r>
    </w:p>
    <w:p w14:paraId="0BBDC9E4" w14:textId="77777777" w:rsidR="00B3355B" w:rsidRPr="00473061" w:rsidRDefault="00B3355B" w:rsidP="00473061">
      <w:pPr>
        <w:spacing w:after="0" w:line="240" w:lineRule="auto"/>
        <w:jc w:val="right"/>
        <w:rPr>
          <w:rFonts w:ascii="Times New Roman" w:hAnsi="Times New Roman" w:cs="Times New Roman"/>
          <w:b/>
          <w:i/>
          <w:sz w:val="28"/>
          <w:szCs w:val="28"/>
          <w:lang w:val="kk-KZ"/>
        </w:rPr>
      </w:pPr>
    </w:p>
    <w:p w14:paraId="2280C08D" w14:textId="77777777" w:rsidR="00BB678F" w:rsidRPr="00BB678F" w:rsidRDefault="00BB678F" w:rsidP="00BB678F">
      <w:pPr>
        <w:spacing w:after="0" w:line="240" w:lineRule="auto"/>
        <w:jc w:val="center"/>
        <w:rPr>
          <w:rFonts w:ascii="Times New Roman" w:eastAsia="Calibri" w:hAnsi="Times New Roman" w:cs="Times New Roman"/>
          <w:b/>
          <w:sz w:val="28"/>
          <w:szCs w:val="28"/>
          <w:lang w:val="kk-KZ"/>
        </w:rPr>
      </w:pPr>
      <w:r w:rsidRPr="00BB678F">
        <w:rPr>
          <w:rFonts w:ascii="Times New Roman" w:eastAsia="Calibri" w:hAnsi="Times New Roman" w:cs="Times New Roman"/>
          <w:b/>
          <w:sz w:val="28"/>
          <w:szCs w:val="28"/>
          <w:lang w:val="kk-KZ"/>
        </w:rPr>
        <w:t xml:space="preserve">2025 жылғы _______________ «Ашық НҚА» порталында орналастыруға жоспарланған және резонанстық мәселені қамтымайтын НҚА жобаларының тізбесі </w:t>
      </w:r>
    </w:p>
    <w:p w14:paraId="3E4F4B67" w14:textId="77777777" w:rsidR="00F7469E" w:rsidRPr="00BB678F" w:rsidRDefault="00F7469E" w:rsidP="00F7469E">
      <w:pPr>
        <w:spacing w:after="0" w:line="240" w:lineRule="auto"/>
        <w:jc w:val="center"/>
        <w:rPr>
          <w:rFonts w:ascii="Times New Roman" w:hAnsi="Times New Roman" w:cs="Times New Roman"/>
          <w:b/>
          <w:sz w:val="28"/>
          <w:szCs w:val="28"/>
          <w:lang w:val="kk-KZ"/>
        </w:rPr>
      </w:pPr>
    </w:p>
    <w:tbl>
      <w:tblPr>
        <w:tblStyle w:val="a3"/>
        <w:tblW w:w="15394" w:type="dxa"/>
        <w:tblInd w:w="-289" w:type="dxa"/>
        <w:tblLayout w:type="fixed"/>
        <w:tblLook w:val="04A0" w:firstRow="1" w:lastRow="0" w:firstColumn="1" w:lastColumn="0" w:noHBand="0" w:noVBand="1"/>
      </w:tblPr>
      <w:tblGrid>
        <w:gridCol w:w="426"/>
        <w:gridCol w:w="1531"/>
        <w:gridCol w:w="1134"/>
        <w:gridCol w:w="992"/>
        <w:gridCol w:w="1701"/>
        <w:gridCol w:w="1984"/>
        <w:gridCol w:w="2694"/>
        <w:gridCol w:w="2409"/>
        <w:gridCol w:w="2523"/>
      </w:tblGrid>
      <w:tr w:rsidR="00BB678F" w:rsidRPr="00B64746" w14:paraId="670EA0D8" w14:textId="6AECF79C" w:rsidTr="000C45AA">
        <w:tc>
          <w:tcPr>
            <w:tcW w:w="426" w:type="dxa"/>
            <w:vAlign w:val="center"/>
          </w:tcPr>
          <w:p w14:paraId="1466E05D" w14:textId="587EB964" w:rsidR="00BB678F" w:rsidRPr="007265BE" w:rsidRDefault="00BB678F" w:rsidP="00F33F7B">
            <w:pPr>
              <w:jc w:val="center"/>
              <w:rPr>
                <w:rFonts w:ascii="Times New Roman" w:hAnsi="Times New Roman" w:cs="Times New Roman"/>
                <w:b/>
                <w:lang w:val="kk-KZ"/>
              </w:rPr>
            </w:pPr>
            <w:r w:rsidRPr="007265BE">
              <w:rPr>
                <w:rFonts w:ascii="Times New Roman" w:hAnsi="Times New Roman" w:cs="Times New Roman"/>
                <w:b/>
                <w:lang w:val="kk-KZ"/>
              </w:rPr>
              <w:t>№</w:t>
            </w:r>
          </w:p>
        </w:tc>
        <w:tc>
          <w:tcPr>
            <w:tcW w:w="1531" w:type="dxa"/>
            <w:vAlign w:val="center"/>
          </w:tcPr>
          <w:p w14:paraId="49BA0702" w14:textId="2B0A7420"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НҚА түрі көрсетілген жоба атауы</w:t>
            </w:r>
          </w:p>
        </w:tc>
        <w:tc>
          <w:tcPr>
            <w:tcW w:w="1134" w:type="dxa"/>
            <w:vAlign w:val="center"/>
          </w:tcPr>
          <w:p w14:paraId="43B4C48C" w14:textId="1BCAE3D5" w:rsidR="00BB678F" w:rsidRPr="007265BE" w:rsidRDefault="00BB678F" w:rsidP="00A54555">
            <w:pPr>
              <w:jc w:val="center"/>
              <w:rPr>
                <w:rFonts w:ascii="Times New Roman" w:hAnsi="Times New Roman" w:cs="Times New Roman"/>
                <w:b/>
                <w:lang w:val="kk-KZ"/>
              </w:rPr>
            </w:pPr>
            <w:r w:rsidRPr="007265BE">
              <w:rPr>
                <w:rFonts w:ascii="Times New Roman" w:hAnsi="Times New Roman" w:cs="Times New Roman"/>
                <w:b/>
                <w:lang w:val="kk-KZ"/>
              </w:rPr>
              <w:t>Жобаны әзірлеуші, құрылымдық бөлімше, лауазымы, байланыс деректері</w:t>
            </w:r>
          </w:p>
        </w:tc>
        <w:tc>
          <w:tcPr>
            <w:tcW w:w="992" w:type="dxa"/>
            <w:vAlign w:val="center"/>
          </w:tcPr>
          <w:p w14:paraId="00ABAC8D" w14:textId="11EE2D6A"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Орналастыру жоспарланған күн</w:t>
            </w:r>
          </w:p>
        </w:tc>
        <w:tc>
          <w:tcPr>
            <w:tcW w:w="1701" w:type="dxa"/>
            <w:vAlign w:val="center"/>
          </w:tcPr>
          <w:p w14:paraId="45CB0950" w14:textId="3476827B"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Жобаның қысқаша мазмұны, негізгі ережелердің сипаттамасы</w:t>
            </w:r>
          </w:p>
        </w:tc>
        <w:tc>
          <w:tcPr>
            <w:tcW w:w="1984" w:type="dxa"/>
            <w:vAlign w:val="center"/>
          </w:tcPr>
          <w:p w14:paraId="48145644" w14:textId="77777777" w:rsidR="00BB678F" w:rsidRPr="007265BE" w:rsidRDefault="00BB678F">
            <w:pPr>
              <w:jc w:val="center"/>
              <w:rPr>
                <w:rFonts w:ascii="Times New Roman" w:hAnsi="Times New Roman" w:cs="Times New Roman"/>
                <w:b/>
                <w:lang w:val="kk-KZ"/>
              </w:rPr>
            </w:pPr>
            <w:r w:rsidRPr="007265BE">
              <w:rPr>
                <w:rFonts w:ascii="Times New Roman" w:hAnsi="Times New Roman" w:cs="Times New Roman"/>
                <w:b/>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4F3E398E" w14:textId="77777777" w:rsidR="00BB678F" w:rsidRPr="007265BE" w:rsidRDefault="00BB678F">
            <w:pPr>
              <w:jc w:val="center"/>
              <w:rPr>
                <w:rFonts w:ascii="Times New Roman" w:hAnsi="Times New Roman" w:cs="Times New Roman"/>
                <w:b/>
                <w:lang w:val="kk-KZ"/>
              </w:rPr>
            </w:pPr>
          </w:p>
          <w:p w14:paraId="1E337802" w14:textId="2132E809" w:rsidR="00BB678F" w:rsidRPr="007265BE" w:rsidRDefault="00BB678F" w:rsidP="00155BBC">
            <w:pPr>
              <w:jc w:val="center"/>
              <w:rPr>
                <w:rFonts w:ascii="Times New Roman" w:hAnsi="Times New Roman" w:cs="Times New Roman"/>
                <w:b/>
                <w:i/>
                <w:lang w:val="kk-KZ"/>
              </w:rPr>
            </w:pPr>
            <w:r w:rsidRPr="007265BE">
              <w:rPr>
                <w:rFonts w:ascii="Times New Roman" w:hAnsi="Times New Roman" w:cs="Times New Roman"/>
                <w:b/>
                <w:i/>
                <w:lang w:val="kk-KZ"/>
              </w:rPr>
              <w:t>* егер жоба бастамашылық тәртіппен әзірленсе – «Бастамашылық» деп көрсетіледі</w:t>
            </w:r>
          </w:p>
        </w:tc>
        <w:tc>
          <w:tcPr>
            <w:tcW w:w="2694" w:type="dxa"/>
            <w:vAlign w:val="center"/>
          </w:tcPr>
          <w:p w14:paraId="050E86EC" w14:textId="460395C3" w:rsidR="00BB678F" w:rsidRPr="007265BE" w:rsidRDefault="00BB678F" w:rsidP="00155BBC">
            <w:pPr>
              <w:jc w:val="center"/>
              <w:rPr>
                <w:rFonts w:ascii="Times New Roman" w:hAnsi="Times New Roman" w:cs="Times New Roman"/>
                <w:b/>
                <w:lang w:val="kk-KZ"/>
              </w:rPr>
            </w:pPr>
            <w:r w:rsidRPr="007265BE">
              <w:rPr>
                <w:rFonts w:ascii="Times New Roman" w:hAnsi="Times New Roman" w:cs="Times New Roman"/>
                <w:b/>
                <w:lang w:val="kk-KZ"/>
              </w:rPr>
              <w:t>Күтілетін нәтижелердің нақты мақсаттары мен мерзімдері</w:t>
            </w:r>
          </w:p>
        </w:tc>
        <w:tc>
          <w:tcPr>
            <w:tcW w:w="2409" w:type="dxa"/>
            <w:vAlign w:val="center"/>
          </w:tcPr>
          <w:p w14:paraId="3657F2E9" w14:textId="00E0EC67" w:rsidR="00BB678F" w:rsidRPr="007265BE" w:rsidRDefault="00BB678F" w:rsidP="00137C86">
            <w:pPr>
              <w:jc w:val="center"/>
              <w:rPr>
                <w:rFonts w:ascii="Times New Roman" w:hAnsi="Times New Roman" w:cs="Times New Roman"/>
                <w:b/>
                <w:lang w:val="kk-KZ"/>
              </w:rPr>
            </w:pPr>
            <w:r w:rsidRPr="007265BE">
              <w:rPr>
                <w:rFonts w:ascii="Times New Roman" w:hAnsi="Times New Roman" w:cs="Times New Roman"/>
                <w:b/>
                <w:lang w:val="kk-KZ"/>
              </w:rPr>
              <w:t>НҚА жобасы қабылданған жағдайда болжанатын әлеуметтік-экономикалық, құқықтық және (немесе) өзге де салдар</w:t>
            </w:r>
          </w:p>
        </w:tc>
        <w:tc>
          <w:tcPr>
            <w:tcW w:w="2523" w:type="dxa"/>
          </w:tcPr>
          <w:p w14:paraId="76AFED30" w14:textId="77777777" w:rsidR="00BB678F" w:rsidRPr="007265BE" w:rsidRDefault="00BB678F">
            <w:pPr>
              <w:jc w:val="center"/>
              <w:rPr>
                <w:rFonts w:ascii="Times New Roman" w:hAnsi="Times New Roman" w:cs="Times New Roman"/>
                <w:b/>
                <w:lang w:val="kk-KZ"/>
              </w:rPr>
            </w:pPr>
          </w:p>
          <w:p w14:paraId="1FE40F23" w14:textId="338ABCE4" w:rsidR="00BB678F" w:rsidRPr="007265BE" w:rsidRDefault="00BB678F" w:rsidP="00DC2C92">
            <w:pPr>
              <w:jc w:val="center"/>
              <w:rPr>
                <w:rFonts w:ascii="Times New Roman" w:hAnsi="Times New Roman" w:cs="Times New Roman"/>
                <w:lang w:val="kk-KZ"/>
              </w:rPr>
            </w:pPr>
            <w:r w:rsidRPr="007265BE">
              <w:rPr>
                <w:rFonts w:ascii="Times New Roman" w:hAnsi="Times New Roman" w:cs="Times New Roman"/>
                <w:b/>
                <w:lang w:val="kk-KZ"/>
              </w:rPr>
              <w:t xml:space="preserve">Жобаны орналастыру мерзімдерін бұзу кезінде ықтимал тәуекелдер </w:t>
            </w:r>
            <w:r w:rsidRPr="007265BE">
              <w:rPr>
                <w:rFonts w:ascii="Times New Roman" w:hAnsi="Times New Roman" w:cs="Times New Roman"/>
                <w:b/>
                <w:i/>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p>
        </w:tc>
      </w:tr>
      <w:tr w:rsidR="00B64746" w:rsidRPr="00B64746" w14:paraId="428B3EE7" w14:textId="77777777" w:rsidTr="000C45AA">
        <w:tc>
          <w:tcPr>
            <w:tcW w:w="426" w:type="dxa"/>
            <w:vAlign w:val="center"/>
          </w:tcPr>
          <w:p w14:paraId="1421DC61" w14:textId="1E04F5C3" w:rsidR="00B64746" w:rsidRPr="007265BE" w:rsidRDefault="00B64746" w:rsidP="00F33F7B">
            <w:pPr>
              <w:jc w:val="center"/>
              <w:rPr>
                <w:rFonts w:ascii="Times New Roman" w:hAnsi="Times New Roman" w:cs="Times New Roman"/>
                <w:b/>
                <w:lang w:val="kk-KZ"/>
              </w:rPr>
            </w:pPr>
            <w:r>
              <w:rPr>
                <w:rFonts w:ascii="Times New Roman" w:hAnsi="Times New Roman" w:cs="Times New Roman"/>
                <w:b/>
                <w:lang w:val="kk-KZ"/>
              </w:rPr>
              <w:t>1</w:t>
            </w:r>
          </w:p>
        </w:tc>
        <w:tc>
          <w:tcPr>
            <w:tcW w:w="1531" w:type="dxa"/>
            <w:vAlign w:val="center"/>
          </w:tcPr>
          <w:p w14:paraId="72102963" w14:textId="4B4FF0A9" w:rsidR="00B64746" w:rsidRPr="007265BE" w:rsidRDefault="00B64746" w:rsidP="00155BBC">
            <w:pPr>
              <w:jc w:val="center"/>
              <w:rPr>
                <w:rFonts w:ascii="Times New Roman" w:hAnsi="Times New Roman" w:cs="Times New Roman"/>
                <w:b/>
                <w:lang w:val="kk-KZ"/>
              </w:rPr>
            </w:pPr>
            <w:r>
              <w:rPr>
                <w:rFonts w:ascii="Times New Roman" w:hAnsi="Times New Roman" w:cs="Times New Roman"/>
                <w:b/>
                <w:lang w:val="kk-KZ"/>
              </w:rPr>
              <w:t>2</w:t>
            </w:r>
          </w:p>
        </w:tc>
        <w:tc>
          <w:tcPr>
            <w:tcW w:w="1134" w:type="dxa"/>
            <w:vAlign w:val="center"/>
          </w:tcPr>
          <w:p w14:paraId="7110A4FC" w14:textId="435517A9" w:rsidR="00B64746" w:rsidRPr="007265BE" w:rsidRDefault="00B64746" w:rsidP="00A54555">
            <w:pPr>
              <w:jc w:val="center"/>
              <w:rPr>
                <w:rFonts w:ascii="Times New Roman" w:hAnsi="Times New Roman" w:cs="Times New Roman"/>
                <w:b/>
                <w:lang w:val="kk-KZ"/>
              </w:rPr>
            </w:pPr>
            <w:r>
              <w:rPr>
                <w:rFonts w:ascii="Times New Roman" w:hAnsi="Times New Roman" w:cs="Times New Roman"/>
                <w:b/>
                <w:lang w:val="kk-KZ"/>
              </w:rPr>
              <w:t>3</w:t>
            </w:r>
          </w:p>
        </w:tc>
        <w:tc>
          <w:tcPr>
            <w:tcW w:w="992" w:type="dxa"/>
            <w:vAlign w:val="center"/>
          </w:tcPr>
          <w:p w14:paraId="269658A6" w14:textId="752FA0FF" w:rsidR="00B64746" w:rsidRPr="007265BE" w:rsidRDefault="00B64746" w:rsidP="00155BBC">
            <w:pPr>
              <w:jc w:val="center"/>
              <w:rPr>
                <w:rFonts w:ascii="Times New Roman" w:hAnsi="Times New Roman" w:cs="Times New Roman"/>
                <w:b/>
                <w:lang w:val="kk-KZ"/>
              </w:rPr>
            </w:pPr>
            <w:r>
              <w:rPr>
                <w:rFonts w:ascii="Times New Roman" w:hAnsi="Times New Roman" w:cs="Times New Roman"/>
                <w:b/>
                <w:lang w:val="kk-KZ"/>
              </w:rPr>
              <w:t>4</w:t>
            </w:r>
          </w:p>
        </w:tc>
        <w:tc>
          <w:tcPr>
            <w:tcW w:w="1701" w:type="dxa"/>
            <w:vAlign w:val="center"/>
          </w:tcPr>
          <w:p w14:paraId="70D3B0F1" w14:textId="1BE2142F" w:rsidR="00B64746" w:rsidRPr="007265BE" w:rsidRDefault="00B64746" w:rsidP="00155BBC">
            <w:pPr>
              <w:jc w:val="center"/>
              <w:rPr>
                <w:rFonts w:ascii="Times New Roman" w:hAnsi="Times New Roman" w:cs="Times New Roman"/>
                <w:b/>
                <w:lang w:val="kk-KZ"/>
              </w:rPr>
            </w:pPr>
            <w:r>
              <w:rPr>
                <w:rFonts w:ascii="Times New Roman" w:hAnsi="Times New Roman" w:cs="Times New Roman"/>
                <w:b/>
                <w:lang w:val="kk-KZ"/>
              </w:rPr>
              <w:t>5</w:t>
            </w:r>
          </w:p>
        </w:tc>
        <w:tc>
          <w:tcPr>
            <w:tcW w:w="1984" w:type="dxa"/>
            <w:vAlign w:val="center"/>
          </w:tcPr>
          <w:p w14:paraId="04380930" w14:textId="788B99A9" w:rsidR="00B64746" w:rsidRPr="007265BE" w:rsidRDefault="00B64746">
            <w:pPr>
              <w:jc w:val="center"/>
              <w:rPr>
                <w:rFonts w:ascii="Times New Roman" w:hAnsi="Times New Roman" w:cs="Times New Roman"/>
                <w:b/>
                <w:lang w:val="kk-KZ"/>
              </w:rPr>
            </w:pPr>
            <w:r>
              <w:rPr>
                <w:rFonts w:ascii="Times New Roman" w:hAnsi="Times New Roman" w:cs="Times New Roman"/>
                <w:b/>
                <w:lang w:val="kk-KZ"/>
              </w:rPr>
              <w:t>6</w:t>
            </w:r>
          </w:p>
        </w:tc>
        <w:tc>
          <w:tcPr>
            <w:tcW w:w="2694" w:type="dxa"/>
            <w:vAlign w:val="center"/>
          </w:tcPr>
          <w:p w14:paraId="74C51ED2" w14:textId="69CB9957" w:rsidR="00B64746" w:rsidRPr="007265BE" w:rsidRDefault="00B64746" w:rsidP="00155BBC">
            <w:pPr>
              <w:jc w:val="center"/>
              <w:rPr>
                <w:rFonts w:ascii="Times New Roman" w:hAnsi="Times New Roman" w:cs="Times New Roman"/>
                <w:b/>
                <w:lang w:val="kk-KZ"/>
              </w:rPr>
            </w:pPr>
            <w:r>
              <w:rPr>
                <w:rFonts w:ascii="Times New Roman" w:hAnsi="Times New Roman" w:cs="Times New Roman"/>
                <w:b/>
                <w:lang w:val="kk-KZ"/>
              </w:rPr>
              <w:t>7</w:t>
            </w:r>
          </w:p>
        </w:tc>
        <w:tc>
          <w:tcPr>
            <w:tcW w:w="2409" w:type="dxa"/>
            <w:vAlign w:val="center"/>
          </w:tcPr>
          <w:p w14:paraId="493C5AD2" w14:textId="19CBD823" w:rsidR="00B64746" w:rsidRPr="007265BE" w:rsidRDefault="00B64746" w:rsidP="00137C86">
            <w:pPr>
              <w:jc w:val="center"/>
              <w:rPr>
                <w:rFonts w:ascii="Times New Roman" w:hAnsi="Times New Roman" w:cs="Times New Roman"/>
                <w:b/>
                <w:lang w:val="kk-KZ"/>
              </w:rPr>
            </w:pPr>
            <w:r>
              <w:rPr>
                <w:rFonts w:ascii="Times New Roman" w:hAnsi="Times New Roman" w:cs="Times New Roman"/>
                <w:b/>
                <w:lang w:val="kk-KZ"/>
              </w:rPr>
              <w:t>8</w:t>
            </w:r>
          </w:p>
        </w:tc>
        <w:tc>
          <w:tcPr>
            <w:tcW w:w="2523" w:type="dxa"/>
          </w:tcPr>
          <w:p w14:paraId="2B74FFEF" w14:textId="0D4E7D12" w:rsidR="00B64746" w:rsidRPr="007265BE" w:rsidRDefault="00B64746">
            <w:pPr>
              <w:jc w:val="center"/>
              <w:rPr>
                <w:rFonts w:ascii="Times New Roman" w:hAnsi="Times New Roman" w:cs="Times New Roman"/>
                <w:b/>
                <w:lang w:val="kk-KZ"/>
              </w:rPr>
            </w:pPr>
            <w:r>
              <w:rPr>
                <w:rFonts w:ascii="Times New Roman" w:hAnsi="Times New Roman" w:cs="Times New Roman"/>
                <w:b/>
                <w:lang w:val="kk-KZ"/>
              </w:rPr>
              <w:t>9</w:t>
            </w:r>
          </w:p>
        </w:tc>
      </w:tr>
      <w:tr w:rsidR="00137C86" w:rsidRPr="00B64746" w14:paraId="45582F88" w14:textId="0B25881C" w:rsidTr="000C45AA">
        <w:tc>
          <w:tcPr>
            <w:tcW w:w="426" w:type="dxa"/>
            <w:vAlign w:val="center"/>
          </w:tcPr>
          <w:p w14:paraId="373D7442" w14:textId="65F230AE" w:rsidR="00137C86" w:rsidRPr="007265BE" w:rsidRDefault="00137C86" w:rsidP="00485BD7">
            <w:pPr>
              <w:pStyle w:val="a4"/>
              <w:numPr>
                <w:ilvl w:val="0"/>
                <w:numId w:val="1"/>
              </w:numPr>
              <w:ind w:left="-254" w:firstLine="219"/>
              <w:jc w:val="center"/>
              <w:rPr>
                <w:rFonts w:ascii="Times New Roman" w:hAnsi="Times New Roman" w:cs="Times New Roman"/>
                <w:lang w:val="kk-KZ"/>
              </w:rPr>
            </w:pPr>
          </w:p>
        </w:tc>
        <w:tc>
          <w:tcPr>
            <w:tcW w:w="1531" w:type="dxa"/>
            <w:vAlign w:val="center"/>
          </w:tcPr>
          <w:p w14:paraId="2C305EFE" w14:textId="7F732CBF" w:rsidR="00A36424" w:rsidRDefault="007A2487" w:rsidP="00A36424">
            <w:pPr>
              <w:spacing w:line="20" w:lineRule="atLeast"/>
              <w:jc w:val="both"/>
              <w:rPr>
                <w:rFonts w:ascii="Times New Roman" w:hAnsi="Times New Roman" w:cs="Times New Roman"/>
                <w:color w:val="000000"/>
                <w:lang w:val="kk-KZ"/>
              </w:rPr>
            </w:pPr>
            <w:r w:rsidRPr="009F6555">
              <w:rPr>
                <w:rFonts w:ascii="Times New Roman" w:eastAsiaTheme="majorEastAsia" w:hAnsi="Times New Roman" w:cs="Times New Roman"/>
                <w:sz w:val="24"/>
                <w:szCs w:val="24"/>
                <w:lang w:val="kk-KZ"/>
              </w:rPr>
              <w:t>«</w:t>
            </w:r>
            <w:r w:rsidRPr="009F6555">
              <w:rPr>
                <w:rFonts w:ascii="Times New Roman" w:eastAsia="Times New Roman" w:hAnsi="Times New Roman" w:cs="Times New Roman"/>
                <w:bCs/>
                <w:kern w:val="36"/>
                <w:sz w:val="24"/>
                <w:szCs w:val="24"/>
                <w:lang w:val="kk-KZ"/>
              </w:rPr>
              <w:t xml:space="preserve">Толысылған шарап (шарап материалы), сондай-ақ өндiрiстiк қуаты жылына төрт жүз мың декалитрден </w:t>
            </w:r>
            <w:r w:rsidRPr="009F6555">
              <w:rPr>
                <w:rFonts w:ascii="Times New Roman" w:eastAsia="Times New Roman" w:hAnsi="Times New Roman" w:cs="Times New Roman"/>
                <w:bCs/>
                <w:kern w:val="36"/>
                <w:sz w:val="24"/>
                <w:szCs w:val="24"/>
                <w:lang w:val="kk-KZ"/>
              </w:rPr>
              <w:lastRenderedPageBreak/>
              <w:t>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9F6555">
              <w:rPr>
                <w:rFonts w:ascii="Times New Roman" w:eastAsiaTheme="majorEastAsia" w:hAnsi="Times New Roman" w:cs="Times New Roman"/>
                <w:sz w:val="24"/>
                <w:szCs w:val="24"/>
                <w:lang w:val="kk-KZ"/>
              </w:rPr>
              <w:t>»</w:t>
            </w:r>
            <w:r>
              <w:rPr>
                <w:rFonts w:ascii="Times New Roman" w:eastAsiaTheme="majorEastAsia" w:hAnsi="Times New Roman" w:cs="Times New Roman"/>
                <w:sz w:val="24"/>
                <w:szCs w:val="24"/>
                <w:lang w:val="kk-KZ"/>
              </w:rPr>
              <w:t xml:space="preserve"> </w:t>
            </w:r>
            <w:r w:rsidRPr="009F6555">
              <w:rPr>
                <w:rFonts w:ascii="Times New Roman" w:hAnsi="Times New Roman" w:cs="Times New Roman"/>
                <w:sz w:val="24"/>
                <w:szCs w:val="24"/>
                <w:lang w:val="kk-KZ" w:eastAsia="ru-RU"/>
              </w:rPr>
              <w:t>Қазақстан Республикасы Қаржы министрінің бұйрығы</w:t>
            </w:r>
            <w:r>
              <w:rPr>
                <w:rFonts w:ascii="Times New Roman" w:hAnsi="Times New Roman" w:cs="Times New Roman"/>
                <w:color w:val="000000"/>
                <w:lang w:val="kk-KZ"/>
              </w:rPr>
              <w:t xml:space="preserve"> </w:t>
            </w:r>
            <w:r w:rsidR="00A36424">
              <w:rPr>
                <w:rFonts w:ascii="Times New Roman" w:hAnsi="Times New Roman" w:cs="Times New Roman"/>
                <w:color w:val="000000"/>
                <w:lang w:val="kk-KZ"/>
              </w:rPr>
              <w:lastRenderedPageBreak/>
              <w:t>Қазақстан Республика</w:t>
            </w:r>
          </w:p>
          <w:p w14:paraId="7C115F78" w14:textId="4F63368B" w:rsidR="00242881" w:rsidRPr="00A36424" w:rsidRDefault="00A36424" w:rsidP="00A36424">
            <w:pPr>
              <w:spacing w:line="20" w:lineRule="atLeast"/>
              <w:jc w:val="both"/>
              <w:rPr>
                <w:rFonts w:ascii="Times New Roman" w:hAnsi="Times New Roman" w:cs="Times New Roman"/>
                <w:bCs/>
                <w:color w:val="000000"/>
                <w:lang w:val="kk-KZ" w:eastAsia="ru-RU"/>
              </w:rPr>
            </w:pPr>
            <w:r>
              <w:rPr>
                <w:rFonts w:ascii="Times New Roman" w:hAnsi="Times New Roman" w:cs="Times New Roman"/>
                <w:color w:val="000000"/>
                <w:lang w:val="kk-KZ"/>
              </w:rPr>
              <w:t xml:space="preserve">сы Қаржы министрінің </w:t>
            </w:r>
            <w:r w:rsidR="00532FF3" w:rsidRPr="00A36424">
              <w:rPr>
                <w:rFonts w:ascii="Times New Roman" w:hAnsi="Times New Roman" w:cs="Times New Roman"/>
                <w:color w:val="000000"/>
                <w:lang w:val="kk-KZ"/>
              </w:rPr>
              <w:t>бұйрық жобасы</w:t>
            </w:r>
          </w:p>
          <w:p w14:paraId="4BA1D022" w14:textId="7DF55CB3" w:rsidR="00137C86" w:rsidRPr="00A36424" w:rsidRDefault="00137C86" w:rsidP="00A36424">
            <w:pPr>
              <w:jc w:val="both"/>
              <w:rPr>
                <w:rFonts w:ascii="Times New Roman" w:hAnsi="Times New Roman" w:cs="Times New Roman"/>
                <w:lang w:val="kk-KZ"/>
              </w:rPr>
            </w:pPr>
          </w:p>
        </w:tc>
        <w:tc>
          <w:tcPr>
            <w:tcW w:w="1134" w:type="dxa"/>
            <w:vAlign w:val="center"/>
          </w:tcPr>
          <w:p w14:paraId="513A337F" w14:textId="77777777" w:rsidR="00A36424" w:rsidRDefault="00532FF3" w:rsidP="00A36424">
            <w:pPr>
              <w:jc w:val="both"/>
              <w:rPr>
                <w:rStyle w:val="fieldcorrespondentitem"/>
                <w:rFonts w:ascii="Times New Roman" w:hAnsi="Times New Roman" w:cs="Times New Roman"/>
                <w:lang w:val="kk-KZ"/>
              </w:rPr>
            </w:pPr>
            <w:r w:rsidRPr="007265BE">
              <w:rPr>
                <w:rStyle w:val="fieldcorrespondentitem"/>
                <w:rFonts w:ascii="Times New Roman" w:hAnsi="Times New Roman" w:cs="Times New Roman"/>
                <w:lang w:val="kk-KZ"/>
              </w:rPr>
              <w:lastRenderedPageBreak/>
              <w:t>Қазақстан Республикасының Қаржы министрлігі</w:t>
            </w:r>
            <w:r w:rsidR="003A750A">
              <w:rPr>
                <w:rStyle w:val="fieldcorrespondentitem"/>
                <w:rFonts w:ascii="Times New Roman" w:hAnsi="Times New Roman" w:cs="Times New Roman"/>
                <w:lang w:val="kk-KZ"/>
              </w:rPr>
              <w:t>, Мемлекеттік кірістер комитеті,</w:t>
            </w:r>
          </w:p>
          <w:p w14:paraId="25F7CCC6" w14:textId="2E3D6FA5" w:rsidR="00242881" w:rsidRPr="007265BE" w:rsidRDefault="00A36424" w:rsidP="00A36424">
            <w:pPr>
              <w:jc w:val="both"/>
              <w:rPr>
                <w:rFonts w:ascii="Times New Roman" w:hAnsi="Times New Roman" w:cs="Times New Roman"/>
                <w:lang w:val="kk-KZ"/>
              </w:rPr>
            </w:pPr>
            <w:r>
              <w:rPr>
                <w:rStyle w:val="fieldcorrespondentitem"/>
                <w:rFonts w:ascii="Times New Roman" w:hAnsi="Times New Roman" w:cs="Times New Roman"/>
                <w:lang w:val="kk-KZ"/>
              </w:rPr>
              <w:lastRenderedPageBreak/>
              <w:t>Салықтық әкімшілендіру департаменті,</w:t>
            </w:r>
            <w:r w:rsidR="003A750A">
              <w:rPr>
                <w:rStyle w:val="fieldcorrespondentitem"/>
                <w:rFonts w:ascii="Times New Roman" w:hAnsi="Times New Roman" w:cs="Times New Roman"/>
                <w:lang w:val="kk-KZ"/>
              </w:rPr>
              <w:t xml:space="preserve"> </w:t>
            </w:r>
            <w:r>
              <w:rPr>
                <w:rStyle w:val="fieldcorrespondentitem"/>
                <w:rFonts w:ascii="Times New Roman" w:hAnsi="Times New Roman" w:cs="Times New Roman"/>
                <w:lang w:val="kk-KZ"/>
              </w:rPr>
              <w:t>Акциздерді әкімшілендіру басқармасы</w:t>
            </w:r>
            <w:r w:rsidR="003A750A">
              <w:rPr>
                <w:rStyle w:val="fieldcorrespondentitem"/>
                <w:rFonts w:ascii="Times New Roman" w:hAnsi="Times New Roman" w:cs="Times New Roman"/>
                <w:lang w:val="kk-KZ"/>
              </w:rPr>
              <w:t xml:space="preserve">, бас сарапшы </w:t>
            </w:r>
            <w:r w:rsidR="007A2487">
              <w:rPr>
                <w:rStyle w:val="fieldcorrespondentitem"/>
                <w:rFonts w:ascii="Times New Roman" w:hAnsi="Times New Roman" w:cs="Times New Roman"/>
                <w:lang w:val="kk-KZ"/>
              </w:rPr>
              <w:t>Джумагулова Ж</w:t>
            </w:r>
            <w:r>
              <w:rPr>
                <w:rStyle w:val="fieldcorrespondentitem"/>
                <w:rFonts w:ascii="Times New Roman" w:hAnsi="Times New Roman" w:cs="Times New Roman"/>
                <w:lang w:val="kk-KZ"/>
              </w:rPr>
              <w:t>.</w:t>
            </w:r>
            <w:r w:rsidR="007A2487">
              <w:rPr>
                <w:rStyle w:val="fieldcorrespondentitem"/>
                <w:rFonts w:ascii="Times New Roman" w:hAnsi="Times New Roman" w:cs="Times New Roman"/>
                <w:lang w:val="kk-KZ"/>
              </w:rPr>
              <w:t>Х.</w:t>
            </w:r>
            <w:r>
              <w:rPr>
                <w:rStyle w:val="fieldcorrespondentitem"/>
                <w:rFonts w:ascii="Times New Roman" w:hAnsi="Times New Roman" w:cs="Times New Roman"/>
                <w:lang w:val="kk-KZ"/>
              </w:rPr>
              <w:t>, телефон 8(701)</w:t>
            </w:r>
            <w:r w:rsidR="007A2487">
              <w:rPr>
                <w:rStyle w:val="fieldcorrespondentitem"/>
                <w:rFonts w:ascii="Times New Roman" w:hAnsi="Times New Roman" w:cs="Times New Roman"/>
                <w:lang w:val="kk-KZ"/>
              </w:rPr>
              <w:t>7804607</w:t>
            </w:r>
          </w:p>
          <w:p w14:paraId="2E7785BF" w14:textId="77777777" w:rsidR="00242881" w:rsidRPr="003A750A" w:rsidRDefault="00242881" w:rsidP="00A36424">
            <w:pPr>
              <w:jc w:val="both"/>
              <w:rPr>
                <w:rFonts w:ascii="Times New Roman" w:hAnsi="Times New Roman" w:cs="Times New Roman"/>
                <w:lang w:val="kk-KZ"/>
              </w:rPr>
            </w:pPr>
          </w:p>
          <w:p w14:paraId="3A52C49B" w14:textId="77777777" w:rsidR="00242881" w:rsidRPr="003A750A" w:rsidRDefault="00242881" w:rsidP="00A36424">
            <w:pPr>
              <w:jc w:val="both"/>
              <w:rPr>
                <w:rFonts w:ascii="Times New Roman" w:hAnsi="Times New Roman" w:cs="Times New Roman"/>
                <w:lang w:val="kk-KZ"/>
              </w:rPr>
            </w:pPr>
          </w:p>
          <w:p w14:paraId="5412FDA4" w14:textId="0F2F8DC6" w:rsidR="00137C86" w:rsidRPr="007265BE" w:rsidRDefault="00137C86" w:rsidP="00A36424">
            <w:pPr>
              <w:jc w:val="both"/>
              <w:rPr>
                <w:rFonts w:ascii="Times New Roman" w:hAnsi="Times New Roman" w:cs="Times New Roman"/>
                <w:lang w:val="kk-KZ"/>
              </w:rPr>
            </w:pPr>
          </w:p>
        </w:tc>
        <w:tc>
          <w:tcPr>
            <w:tcW w:w="992" w:type="dxa"/>
            <w:vAlign w:val="center"/>
          </w:tcPr>
          <w:p w14:paraId="19BA7F1F" w14:textId="0B49E768" w:rsidR="00137C86" w:rsidRPr="007265BE" w:rsidRDefault="00C62985" w:rsidP="00A36424">
            <w:pPr>
              <w:jc w:val="both"/>
              <w:rPr>
                <w:rFonts w:ascii="Times New Roman" w:hAnsi="Times New Roman" w:cs="Times New Roman"/>
                <w:lang w:val="kk-KZ"/>
              </w:rPr>
            </w:pPr>
            <w:r>
              <w:rPr>
                <w:rFonts w:ascii="Times New Roman" w:hAnsi="Times New Roman" w:cs="Times New Roman"/>
                <w:lang w:val="kk-KZ"/>
              </w:rPr>
              <w:lastRenderedPageBreak/>
              <w:t>тамыз</w:t>
            </w:r>
          </w:p>
        </w:tc>
        <w:tc>
          <w:tcPr>
            <w:tcW w:w="1701" w:type="dxa"/>
            <w:vAlign w:val="center"/>
          </w:tcPr>
          <w:p w14:paraId="1FB2363F" w14:textId="473B4012" w:rsidR="00137C86" w:rsidRPr="00B64746" w:rsidRDefault="00B64746" w:rsidP="00B64746">
            <w:pPr>
              <w:jc w:val="both"/>
              <w:rPr>
                <w:rFonts w:ascii="Times New Roman" w:hAnsi="Times New Roman" w:cs="Times New Roman"/>
                <w:lang w:val="kk-KZ"/>
              </w:rPr>
            </w:pPr>
            <w:r w:rsidRPr="00B64746">
              <w:rPr>
                <w:rFonts w:ascii="Times New Roman" w:hAnsi="Times New Roman" w:cs="Times New Roman"/>
                <w:lang w:val="kk-KZ"/>
              </w:rPr>
              <w:t>Этил спиртін және (немесе) алкоголь өнімін өндірудің технологиялық желілерін есепке алудың бақылау аспаптарымен жарақтандыру, олардың жұмыс істеуі мен есепке алуды жүзеге асыру қағидаларына өзгеріс енгізу жолымен заңнамалық кедергілерді алып тастау ұсынылатын алкогольсіз шарап өндіру бойынша отандық шарап жасаушыларға тең мүмкіндіктер беру, құйылатын шарап (шарап материалы) өндіруден басқа, сондай-ақ өндірістік қуаты төрт жүзден төмен сыра қайнату өнімі жылына мыңдаған декалитр</w:t>
            </w:r>
          </w:p>
        </w:tc>
        <w:tc>
          <w:tcPr>
            <w:tcW w:w="1984" w:type="dxa"/>
            <w:vAlign w:val="center"/>
          </w:tcPr>
          <w:p w14:paraId="1F861E3F" w14:textId="09F725B9" w:rsidR="00137C86" w:rsidRPr="00B64746" w:rsidRDefault="00B64746" w:rsidP="00B64746">
            <w:pPr>
              <w:jc w:val="both"/>
              <w:rPr>
                <w:rFonts w:ascii="Times New Roman" w:hAnsi="Times New Roman" w:cs="Times New Roman"/>
                <w:lang w:val="kk-KZ"/>
              </w:rPr>
            </w:pPr>
            <w:r w:rsidRPr="00B64746">
              <w:rPr>
                <w:rFonts w:ascii="Times New Roman" w:hAnsi="Times New Roman" w:cs="Times New Roman"/>
                <w:lang w:val="kk-KZ"/>
              </w:rPr>
              <w:t>Жоба Қазақстан Республикасы Қаржы министрінің 2015 жылғы 30 қаңтардағы № 60 бұйрығымен бекітілген Біліктілік талаптарына бұрын қабылданған түзетулерге сәйкес келтіру мақсатында әзірленді.</w:t>
            </w:r>
          </w:p>
        </w:tc>
        <w:tc>
          <w:tcPr>
            <w:tcW w:w="2694" w:type="dxa"/>
            <w:vAlign w:val="center"/>
          </w:tcPr>
          <w:p w14:paraId="3A8BBA0A" w14:textId="77777777" w:rsidR="00B64746" w:rsidRPr="00B64746" w:rsidRDefault="00B64746" w:rsidP="00B64746">
            <w:pPr>
              <w:jc w:val="both"/>
              <w:rPr>
                <w:rFonts w:ascii="Times New Roman" w:eastAsia="Times New Roman" w:hAnsi="Times New Roman" w:cs="Times New Roman"/>
                <w:sz w:val="24"/>
                <w:szCs w:val="24"/>
                <w:lang w:val="kk-KZ"/>
              </w:rPr>
            </w:pPr>
            <w:r w:rsidRPr="00B64746">
              <w:rPr>
                <w:rFonts w:ascii="Times New Roman" w:eastAsia="Times New Roman" w:hAnsi="Times New Roman" w:cs="Times New Roman"/>
                <w:b/>
                <w:sz w:val="24"/>
                <w:szCs w:val="24"/>
                <w:lang w:val="kk-KZ"/>
              </w:rPr>
              <w:t>Жобаның мақсаты</w:t>
            </w:r>
            <w:r w:rsidRPr="00B64746">
              <w:rPr>
                <w:rFonts w:ascii="Times New Roman" w:eastAsia="Times New Roman" w:hAnsi="Times New Roman" w:cs="Times New Roman"/>
                <w:sz w:val="24"/>
                <w:szCs w:val="24"/>
                <w:lang w:val="kk-KZ"/>
              </w:rPr>
              <w:t xml:space="preserve"> өндірістің технологиялық желілерін қосымша өлшеу құралдарымен (алколайзер-тығыз өлшегіш немесе спирттік рефрактометр) жарақтандыру, өндірістің бір желісінде алкоголь және алкогольсіз өнім өндірудің уәкілетті мемлекеттік органымен тиімді бақылау және мониторинг жүргізу және этил спиртінің концентрациясын анықтау болып табылады.    </w:t>
            </w:r>
            <w:r w:rsidRPr="00B64746">
              <w:rPr>
                <w:rFonts w:ascii="Times New Roman" w:eastAsia="Times New Roman" w:hAnsi="Times New Roman" w:cs="Times New Roman"/>
                <w:b/>
                <w:sz w:val="24"/>
                <w:szCs w:val="24"/>
                <w:lang w:val="kk-KZ"/>
              </w:rPr>
              <w:t>Жобаның күтілетін</w:t>
            </w:r>
            <w:r w:rsidRPr="00B64746">
              <w:rPr>
                <w:rFonts w:ascii="Times New Roman" w:eastAsia="Times New Roman" w:hAnsi="Times New Roman" w:cs="Times New Roman"/>
                <w:sz w:val="24"/>
                <w:szCs w:val="24"/>
                <w:lang w:val="kk-KZ"/>
              </w:rPr>
              <w:t xml:space="preserve"> нәтижесі уәкілетті мемлекеттік орган тарапынан алкоголь өнімін өндіру және оның айналымы саласындағы заңнаманың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ететін болады</w:t>
            </w:r>
          </w:p>
          <w:p w14:paraId="483B59BD" w14:textId="2568A4EC" w:rsidR="00137C86" w:rsidRPr="007265BE" w:rsidRDefault="00137C86" w:rsidP="00B64746">
            <w:pPr>
              <w:jc w:val="both"/>
              <w:rPr>
                <w:rFonts w:ascii="Times New Roman" w:hAnsi="Times New Roman" w:cs="Times New Roman"/>
                <w:lang w:val="kk-KZ"/>
              </w:rPr>
            </w:pPr>
          </w:p>
        </w:tc>
        <w:tc>
          <w:tcPr>
            <w:tcW w:w="2409" w:type="dxa"/>
            <w:vAlign w:val="center"/>
          </w:tcPr>
          <w:p w14:paraId="70674893" w14:textId="3EA91CF7" w:rsidR="00137C86" w:rsidRPr="00B64746" w:rsidRDefault="00B64746" w:rsidP="00B64746">
            <w:pPr>
              <w:pStyle w:val="a6"/>
              <w:jc w:val="both"/>
              <w:rPr>
                <w:rFonts w:ascii="Times New Roman" w:hAnsi="Times New Roman" w:cs="Times New Roman"/>
                <w:lang w:val="kk-KZ"/>
              </w:rPr>
            </w:pPr>
            <w:r w:rsidRPr="00B64746">
              <w:rPr>
                <w:rFonts w:ascii="Times New Roman" w:hAnsi="Times New Roman" w:cs="Times New Roman"/>
                <w:lang w:val="kk-KZ"/>
              </w:rPr>
              <w:t>Бұл жоба уәкілетті мемлекеттік орган тарапынан алкоголь өнімін өндіру және оның айналымы саласындағы заңнаманың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етеді, осыған байланысты әлеуметтік-экономикалық, құқықтық және өзге де салдарлар жоқ.</w:t>
            </w:r>
          </w:p>
        </w:tc>
        <w:tc>
          <w:tcPr>
            <w:tcW w:w="2523" w:type="dxa"/>
            <w:vAlign w:val="center"/>
          </w:tcPr>
          <w:p w14:paraId="357BD211" w14:textId="77777777" w:rsidR="007265BE" w:rsidRPr="007265BE" w:rsidRDefault="007265BE" w:rsidP="00A36424">
            <w:pPr>
              <w:spacing w:after="160" w:line="259" w:lineRule="auto"/>
              <w:jc w:val="both"/>
              <w:rPr>
                <w:rFonts w:ascii="Times New Roman" w:eastAsia="Times New Roman" w:hAnsi="Times New Roman" w:cs="Times New Roman"/>
                <w:lang w:val="kk-KZ"/>
              </w:rPr>
            </w:pPr>
            <w:r w:rsidRPr="007265BE">
              <w:rPr>
                <w:rFonts w:ascii="Times New Roman" w:eastAsia="Times New Roman" w:hAnsi="Times New Roman" w:cs="Times New Roman"/>
                <w:b/>
                <w:lang w:val="kk-KZ"/>
              </w:rPr>
              <w:t>Бар</w:t>
            </w:r>
            <w:r w:rsidRPr="007265BE">
              <w:rPr>
                <w:rFonts w:ascii="Times New Roman" w:eastAsia="Times New Roman" w:hAnsi="Times New Roman" w:cs="Times New Roman"/>
                <w:lang w:val="kk-KZ"/>
              </w:rPr>
              <w:t>.</w:t>
            </w:r>
          </w:p>
          <w:p w14:paraId="40FCE28D" w14:textId="3FEFF6EF" w:rsidR="007A2487" w:rsidRPr="00B64746" w:rsidRDefault="00B64746" w:rsidP="007A2487">
            <w:pPr>
              <w:pStyle w:val="a6"/>
              <w:jc w:val="both"/>
              <w:rPr>
                <w:rFonts w:ascii="Times New Roman" w:hAnsi="Times New Roman" w:cs="Times New Roman"/>
                <w:lang w:val="kk-KZ"/>
              </w:rPr>
            </w:pPr>
            <w:r w:rsidRPr="00B64746">
              <w:rPr>
                <w:rFonts w:ascii="Times New Roman" w:hAnsi="Times New Roman" w:cs="Times New Roman"/>
                <w:lang w:val="kk-KZ"/>
              </w:rPr>
              <w:t>Қазақстан Республикасы Қаржы министрінің 2015 жылғы 29 қыркүйектегі № 498 бұйрығының жобасы</w:t>
            </w:r>
            <w:r w:rsidRPr="00B64746">
              <w:rPr>
                <w:rFonts w:ascii="Times New Roman" w:hAnsi="Times New Roman" w:cs="Times New Roman"/>
                <w:lang w:val="kk-KZ"/>
              </w:rPr>
              <w:br/>
              <w:t>"Этил спиртін және (немесе) алкоголь өнімін өндірудің технологиялық желілерін есепке алудың бақылау аспаптарымен жарақтандыру, олардың жұмыс істеуі мен есепке алуды жүзеге асыру қағидаларын, құйылатын шарап (шарап материалы) өндіруден басқа, сондай-ақ өндірістік қуаты жылына төрт жүз мың декалитрден төмен сыра қайнату өнімдерін бекіту туралы"</w:t>
            </w:r>
            <w:r w:rsidRPr="00B64746">
              <w:rPr>
                <w:rFonts w:ascii="Times New Roman" w:hAnsi="Times New Roman" w:cs="Times New Roman"/>
                <w:lang w:val="kk-KZ"/>
              </w:rPr>
              <w:br/>
              <w:t xml:space="preserve">ҚР Премьер-Министрінің орынбасары – Ұлттық экономика министрі Н.С. Байбазаровтың 2024 жылғы 16 шілдедегі № 12-18/3548 тапсырмасын орындау үшін әзірленді., өндіріс желілерін қосымша өлшеу құралдарымен (алкоголь алколайзері-тығыз өлшегіш немесе рефрактометр) жарақтандыруға, алкоголь және алкогольсіз өнімдерді өндірудің уәкілетті мемлекеттік органының өндірістің бір желісінде және этил спиртінің концентрациясын айқындау үшін тиімді бақылау мен мониторингке қатысты, </w:t>
            </w:r>
            <w:r w:rsidRPr="00B64746">
              <w:rPr>
                <w:rFonts w:ascii="Times New Roman" w:hAnsi="Times New Roman" w:cs="Times New Roman"/>
                <w:lang w:val="kk-KZ"/>
              </w:rPr>
              <w:br/>
              <w:t>Осы жобаны орналастыру мерзімі кейінге қалдырылған жағдайда, кірістерді жасыру фактілерінің ұлғаю ықтималдығы бар, бұл өз кезегінде көлеңкелі экономика үлесінің өсуіне әкелуі мүмкін</w:t>
            </w:r>
            <w:r w:rsidR="007A2487" w:rsidRPr="00B64746">
              <w:rPr>
                <w:rFonts w:ascii="Times New Roman" w:hAnsi="Times New Roman" w:cs="Times New Roman"/>
                <w:lang w:val="kk-KZ"/>
              </w:rPr>
              <w:t>.</w:t>
            </w:r>
          </w:p>
          <w:p w14:paraId="39E35E35" w14:textId="4A784D59" w:rsidR="00137C86" w:rsidRPr="007265BE" w:rsidRDefault="00137C86" w:rsidP="00A36424">
            <w:pPr>
              <w:jc w:val="both"/>
              <w:rPr>
                <w:rFonts w:ascii="Times New Roman" w:hAnsi="Times New Roman" w:cs="Times New Roman"/>
                <w:lang w:val="kk-KZ"/>
              </w:rPr>
            </w:pPr>
          </w:p>
        </w:tc>
      </w:tr>
    </w:tbl>
    <w:p w14:paraId="7D45CE67" w14:textId="420BCB33" w:rsidR="00B23D34" w:rsidRPr="00B23D34" w:rsidRDefault="00B23D34" w:rsidP="00B23D34">
      <w:pPr>
        <w:spacing w:after="0" w:line="240" w:lineRule="auto"/>
        <w:rPr>
          <w:rFonts w:ascii="Times New Roman" w:eastAsia="Times New Roman" w:hAnsi="Times New Roman" w:cs="Times New Roman"/>
          <w:i/>
          <w:sz w:val="24"/>
          <w:szCs w:val="24"/>
          <w:lang w:val="kk-KZ" w:eastAsia="ru-RU"/>
        </w:rPr>
      </w:pPr>
      <w:r w:rsidRPr="00B23D34">
        <w:rPr>
          <w:rFonts w:ascii="Times New Roman" w:eastAsia="Times New Roman" w:hAnsi="Times New Roman" w:cs="Times New Roman"/>
          <w:i/>
          <w:sz w:val="24"/>
          <w:szCs w:val="24"/>
          <w:lang w:val="kk-KZ" w:eastAsia="ru-RU"/>
        </w:rPr>
        <w:lastRenderedPageBreak/>
        <w:t>Келісілді:</w:t>
      </w:r>
      <w:r w:rsidRPr="00B23D34">
        <w:rPr>
          <w:rFonts w:ascii="Times New Roman" w:eastAsia="Times New Roman" w:hAnsi="Times New Roman" w:cs="Times New Roman"/>
          <w:i/>
          <w:sz w:val="24"/>
          <w:szCs w:val="24"/>
          <w:lang w:val="kk-KZ" w:eastAsia="ru-RU"/>
        </w:rPr>
        <w:br/>
        <w:t>______</w:t>
      </w:r>
      <w:r>
        <w:rPr>
          <w:rFonts w:ascii="Times New Roman" w:eastAsia="Times New Roman" w:hAnsi="Times New Roman" w:cs="Times New Roman"/>
          <w:i/>
          <w:sz w:val="24"/>
          <w:szCs w:val="24"/>
          <w:lang w:val="kk-KZ" w:eastAsia="ru-RU"/>
        </w:rPr>
        <w:t xml:space="preserve"> </w:t>
      </w:r>
      <w:r w:rsidRPr="00B23D34">
        <w:rPr>
          <w:rFonts w:ascii="Times New Roman" w:eastAsia="Times New Roman" w:hAnsi="Times New Roman" w:cs="Times New Roman"/>
          <w:i/>
          <w:sz w:val="24"/>
          <w:szCs w:val="24"/>
          <w:lang w:val="kk-KZ" w:eastAsia="ru-RU"/>
        </w:rPr>
        <w:t>заң қызметі</w:t>
      </w:r>
      <w:r w:rsidRPr="00B23D34">
        <w:rPr>
          <w:rFonts w:ascii="Times New Roman" w:eastAsia="Times New Roman" w:hAnsi="Times New Roman" w:cs="Times New Roman"/>
          <w:i/>
          <w:sz w:val="24"/>
          <w:szCs w:val="24"/>
          <w:lang w:val="kk-KZ" w:eastAsia="ru-RU"/>
        </w:rPr>
        <w:br/>
        <w:t>___________</w:t>
      </w:r>
      <w:r>
        <w:rPr>
          <w:rFonts w:ascii="Times New Roman" w:eastAsia="Times New Roman" w:hAnsi="Times New Roman" w:cs="Times New Roman"/>
          <w:i/>
          <w:sz w:val="24"/>
          <w:szCs w:val="24"/>
          <w:lang w:val="kk-KZ" w:eastAsia="ru-RU"/>
        </w:rPr>
        <w:t xml:space="preserve"> </w:t>
      </w:r>
      <w:r w:rsidRPr="00B23D34">
        <w:rPr>
          <w:rFonts w:ascii="Times New Roman" w:eastAsia="Times New Roman" w:hAnsi="Times New Roman" w:cs="Times New Roman"/>
          <w:i/>
          <w:sz w:val="24"/>
          <w:szCs w:val="24"/>
          <w:lang w:val="kk-KZ" w:eastAsia="ru-RU"/>
        </w:rPr>
        <w:t>Жұртшылықпен және БАҚ-пен байланыс жөніндегі жауапты құрылымдық бөлімше</w:t>
      </w:r>
    </w:p>
    <w:p w14:paraId="25960BA1" w14:textId="5EB42F52" w:rsidR="002453BD" w:rsidRPr="00B23D34" w:rsidRDefault="002453BD" w:rsidP="001F415B">
      <w:pPr>
        <w:spacing w:after="0" w:line="240" w:lineRule="auto"/>
        <w:rPr>
          <w:rFonts w:ascii="Times New Roman" w:hAnsi="Times New Roman" w:cs="Times New Roman"/>
          <w:lang w:val="kk-KZ"/>
        </w:rPr>
      </w:pPr>
    </w:p>
    <w:p w14:paraId="6FFFE55B" w14:textId="1F311D3E" w:rsidR="00DC2C92" w:rsidRPr="00DC2C92" w:rsidRDefault="00DC2C92" w:rsidP="001F415B">
      <w:pPr>
        <w:spacing w:after="0" w:line="240" w:lineRule="auto"/>
        <w:rPr>
          <w:rFonts w:ascii="Times New Roman" w:hAnsi="Times New Roman" w:cs="Times New Roman"/>
          <w:i/>
          <w:sz w:val="24"/>
          <w:szCs w:val="24"/>
          <w:lang w:val="kk-KZ"/>
        </w:rPr>
      </w:pPr>
    </w:p>
    <w:p w14:paraId="17437213" w14:textId="77777777" w:rsidR="00DC2C92" w:rsidRPr="001F43F0" w:rsidRDefault="00DC2C92" w:rsidP="001F415B">
      <w:pPr>
        <w:spacing w:after="0" w:line="240" w:lineRule="auto"/>
        <w:rPr>
          <w:rFonts w:ascii="Times New Roman" w:hAnsi="Times New Roman" w:cs="Times New Roman"/>
          <w:sz w:val="24"/>
          <w:szCs w:val="24"/>
          <w:lang w:val="kk-KZ"/>
        </w:rPr>
      </w:pPr>
      <w:bookmarkStart w:id="0" w:name="_GoBack"/>
      <w:bookmarkEnd w:id="0"/>
    </w:p>
    <w:sectPr w:rsidR="00DC2C92" w:rsidRPr="001F43F0" w:rsidSect="00A1751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3171B" w14:textId="77777777" w:rsidR="00F8612A" w:rsidRDefault="00F8612A" w:rsidP="00A17510">
      <w:pPr>
        <w:spacing w:after="0" w:line="240" w:lineRule="auto"/>
      </w:pPr>
      <w:r>
        <w:separator/>
      </w:r>
    </w:p>
  </w:endnote>
  <w:endnote w:type="continuationSeparator" w:id="0">
    <w:p w14:paraId="2495CB96" w14:textId="77777777" w:rsidR="00F8612A" w:rsidRDefault="00F8612A" w:rsidP="00A17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D3467" w14:textId="77777777" w:rsidR="00A17510" w:rsidRDefault="00A17510">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775E" w14:textId="77777777" w:rsidR="00A17510" w:rsidRDefault="00A17510">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55E57" w14:textId="77777777" w:rsidR="00A17510" w:rsidRDefault="00A1751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EAE58" w14:textId="77777777" w:rsidR="00F8612A" w:rsidRDefault="00F8612A" w:rsidP="00A17510">
      <w:pPr>
        <w:spacing w:after="0" w:line="240" w:lineRule="auto"/>
      </w:pPr>
      <w:r>
        <w:separator/>
      </w:r>
    </w:p>
  </w:footnote>
  <w:footnote w:type="continuationSeparator" w:id="0">
    <w:p w14:paraId="3CD2F707" w14:textId="77777777" w:rsidR="00F8612A" w:rsidRDefault="00F8612A" w:rsidP="00A17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6472D" w14:textId="77777777" w:rsidR="00A17510" w:rsidRDefault="00A1751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038763"/>
      <w:docPartObj>
        <w:docPartGallery w:val="Page Numbers (Top of Page)"/>
        <w:docPartUnique/>
      </w:docPartObj>
    </w:sdtPr>
    <w:sdtEndPr>
      <w:rPr>
        <w:rFonts w:ascii="Times New Roman" w:hAnsi="Times New Roman" w:cs="Times New Roman"/>
        <w:sz w:val="28"/>
        <w:szCs w:val="28"/>
      </w:rPr>
    </w:sdtEndPr>
    <w:sdtContent>
      <w:p w14:paraId="3B46CEBF" w14:textId="7A406490" w:rsidR="00A17510" w:rsidRPr="00A17510" w:rsidRDefault="00A17510">
        <w:pPr>
          <w:pStyle w:val="a9"/>
          <w:jc w:val="center"/>
          <w:rPr>
            <w:rFonts w:ascii="Times New Roman" w:hAnsi="Times New Roman" w:cs="Times New Roman"/>
            <w:sz w:val="28"/>
            <w:szCs w:val="28"/>
          </w:rPr>
        </w:pPr>
        <w:r w:rsidRPr="00A17510">
          <w:rPr>
            <w:rFonts w:ascii="Times New Roman" w:hAnsi="Times New Roman" w:cs="Times New Roman"/>
            <w:sz w:val="28"/>
            <w:szCs w:val="28"/>
          </w:rPr>
          <w:fldChar w:fldCharType="begin"/>
        </w:r>
        <w:r w:rsidRPr="00A17510">
          <w:rPr>
            <w:rFonts w:ascii="Times New Roman" w:hAnsi="Times New Roman" w:cs="Times New Roman"/>
            <w:sz w:val="28"/>
            <w:szCs w:val="28"/>
          </w:rPr>
          <w:instrText>PAGE   \* MERGEFORMAT</w:instrText>
        </w:r>
        <w:r w:rsidRPr="00A17510">
          <w:rPr>
            <w:rFonts w:ascii="Times New Roman" w:hAnsi="Times New Roman" w:cs="Times New Roman"/>
            <w:sz w:val="28"/>
            <w:szCs w:val="28"/>
          </w:rPr>
          <w:fldChar w:fldCharType="separate"/>
        </w:r>
        <w:r w:rsidR="00B64746">
          <w:rPr>
            <w:rFonts w:ascii="Times New Roman" w:hAnsi="Times New Roman" w:cs="Times New Roman"/>
            <w:noProof/>
            <w:sz w:val="28"/>
            <w:szCs w:val="28"/>
          </w:rPr>
          <w:t>3</w:t>
        </w:r>
        <w:r w:rsidRPr="00A17510">
          <w:rPr>
            <w:rFonts w:ascii="Times New Roman" w:hAnsi="Times New Roman" w:cs="Times New Roman"/>
            <w:sz w:val="28"/>
            <w:szCs w:val="28"/>
          </w:rPr>
          <w:fldChar w:fldCharType="end"/>
        </w:r>
      </w:p>
    </w:sdtContent>
  </w:sdt>
  <w:p w14:paraId="0D903313" w14:textId="77777777" w:rsidR="00A17510" w:rsidRDefault="00A17510">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81262" w14:textId="77777777" w:rsidR="00A17510" w:rsidRDefault="00A1751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65"/>
    <w:rsid w:val="00035297"/>
    <w:rsid w:val="00070436"/>
    <w:rsid w:val="000C45AA"/>
    <w:rsid w:val="000D3E11"/>
    <w:rsid w:val="000F30E1"/>
    <w:rsid w:val="000F6DA6"/>
    <w:rsid w:val="0011467A"/>
    <w:rsid w:val="00137C86"/>
    <w:rsid w:val="00147ACF"/>
    <w:rsid w:val="00155BBC"/>
    <w:rsid w:val="00172D5F"/>
    <w:rsid w:val="001805AE"/>
    <w:rsid w:val="001C02BB"/>
    <w:rsid w:val="001C06B5"/>
    <w:rsid w:val="001C0B3A"/>
    <w:rsid w:val="001F415B"/>
    <w:rsid w:val="001F43F0"/>
    <w:rsid w:val="00242881"/>
    <w:rsid w:val="002453BD"/>
    <w:rsid w:val="00311639"/>
    <w:rsid w:val="00330351"/>
    <w:rsid w:val="003A750A"/>
    <w:rsid w:val="003D4FB1"/>
    <w:rsid w:val="00407649"/>
    <w:rsid w:val="00473061"/>
    <w:rsid w:val="00485BD7"/>
    <w:rsid w:val="004B6E7D"/>
    <w:rsid w:val="004C0F23"/>
    <w:rsid w:val="004C16D3"/>
    <w:rsid w:val="005227E5"/>
    <w:rsid w:val="00523D8A"/>
    <w:rsid w:val="00532FF3"/>
    <w:rsid w:val="00535156"/>
    <w:rsid w:val="00550F02"/>
    <w:rsid w:val="00567A4F"/>
    <w:rsid w:val="0060163D"/>
    <w:rsid w:val="006D54EC"/>
    <w:rsid w:val="006D7A01"/>
    <w:rsid w:val="006E3749"/>
    <w:rsid w:val="00713836"/>
    <w:rsid w:val="007265BE"/>
    <w:rsid w:val="00751963"/>
    <w:rsid w:val="00764B6E"/>
    <w:rsid w:val="00765989"/>
    <w:rsid w:val="007778DD"/>
    <w:rsid w:val="007A2487"/>
    <w:rsid w:val="007A33D2"/>
    <w:rsid w:val="007D0DA3"/>
    <w:rsid w:val="007D4654"/>
    <w:rsid w:val="007F0ADA"/>
    <w:rsid w:val="008A2587"/>
    <w:rsid w:val="008E1B42"/>
    <w:rsid w:val="00906985"/>
    <w:rsid w:val="00932161"/>
    <w:rsid w:val="00975C5D"/>
    <w:rsid w:val="009E36D6"/>
    <w:rsid w:val="00A17510"/>
    <w:rsid w:val="00A36424"/>
    <w:rsid w:val="00A54555"/>
    <w:rsid w:val="00A80AEC"/>
    <w:rsid w:val="00A9631F"/>
    <w:rsid w:val="00AC385F"/>
    <w:rsid w:val="00AD370F"/>
    <w:rsid w:val="00AD3778"/>
    <w:rsid w:val="00AE44BC"/>
    <w:rsid w:val="00AE7AA1"/>
    <w:rsid w:val="00B007AD"/>
    <w:rsid w:val="00B16F4C"/>
    <w:rsid w:val="00B23D34"/>
    <w:rsid w:val="00B30365"/>
    <w:rsid w:val="00B3355B"/>
    <w:rsid w:val="00B40E7A"/>
    <w:rsid w:val="00B64746"/>
    <w:rsid w:val="00BB678F"/>
    <w:rsid w:val="00C0472C"/>
    <w:rsid w:val="00C62985"/>
    <w:rsid w:val="00C70B2E"/>
    <w:rsid w:val="00C90C39"/>
    <w:rsid w:val="00C93046"/>
    <w:rsid w:val="00D36713"/>
    <w:rsid w:val="00D40F95"/>
    <w:rsid w:val="00D42354"/>
    <w:rsid w:val="00D6508E"/>
    <w:rsid w:val="00D74101"/>
    <w:rsid w:val="00DC2C92"/>
    <w:rsid w:val="00DF46C2"/>
    <w:rsid w:val="00E03C87"/>
    <w:rsid w:val="00E712A6"/>
    <w:rsid w:val="00E7139F"/>
    <w:rsid w:val="00E937A9"/>
    <w:rsid w:val="00EA353F"/>
    <w:rsid w:val="00EE0727"/>
    <w:rsid w:val="00EE2DCC"/>
    <w:rsid w:val="00F14E0E"/>
    <w:rsid w:val="00F33F7B"/>
    <w:rsid w:val="00F44F3D"/>
    <w:rsid w:val="00F6027E"/>
    <w:rsid w:val="00F7469E"/>
    <w:rsid w:val="00F8612A"/>
    <w:rsid w:val="00F94608"/>
    <w:rsid w:val="00FE27BD"/>
    <w:rsid w:val="00FE4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C4EC1CE2-97CA-46BD-9D91-D5370521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fieldcorrespondentitem">
    <w:name w:val="field_correspondent_item"/>
    <w:basedOn w:val="a0"/>
    <w:rsid w:val="00242881"/>
  </w:style>
  <w:style w:type="character" w:styleId="a5">
    <w:name w:val="Hyperlink"/>
    <w:basedOn w:val="a0"/>
    <w:uiPriority w:val="99"/>
    <w:unhideWhenUsed/>
    <w:rsid w:val="00C62985"/>
    <w:rPr>
      <w:color w:val="0563C1" w:themeColor="hyperlink"/>
      <w:u w:val="single"/>
    </w:rPr>
  </w:style>
  <w:style w:type="paragraph" w:styleId="a6">
    <w:name w:val="No Spacing"/>
    <w:uiPriority w:val="99"/>
    <w:qFormat/>
    <w:rsid w:val="000D3E11"/>
    <w:pPr>
      <w:spacing w:after="0" w:line="240" w:lineRule="auto"/>
    </w:pPr>
  </w:style>
  <w:style w:type="paragraph" w:styleId="a7">
    <w:name w:val="Balloon Text"/>
    <w:basedOn w:val="a"/>
    <w:link w:val="a8"/>
    <w:uiPriority w:val="99"/>
    <w:semiHidden/>
    <w:unhideWhenUsed/>
    <w:rsid w:val="00D741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74101"/>
    <w:rPr>
      <w:rFonts w:ascii="Segoe UI" w:hAnsi="Segoe UI" w:cs="Segoe UI"/>
      <w:sz w:val="18"/>
      <w:szCs w:val="18"/>
    </w:rPr>
  </w:style>
  <w:style w:type="paragraph" w:styleId="a9">
    <w:name w:val="header"/>
    <w:basedOn w:val="a"/>
    <w:link w:val="aa"/>
    <w:uiPriority w:val="99"/>
    <w:unhideWhenUsed/>
    <w:rsid w:val="00A1751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17510"/>
  </w:style>
  <w:style w:type="paragraph" w:styleId="ab">
    <w:name w:val="footer"/>
    <w:basedOn w:val="a"/>
    <w:link w:val="ac"/>
    <w:uiPriority w:val="99"/>
    <w:unhideWhenUsed/>
    <w:rsid w:val="00A1751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17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0517">
      <w:bodyDiv w:val="1"/>
      <w:marLeft w:val="0"/>
      <w:marRight w:val="0"/>
      <w:marTop w:val="0"/>
      <w:marBottom w:val="0"/>
      <w:divBdr>
        <w:top w:val="none" w:sz="0" w:space="0" w:color="auto"/>
        <w:left w:val="none" w:sz="0" w:space="0" w:color="auto"/>
        <w:bottom w:val="none" w:sz="0" w:space="0" w:color="auto"/>
        <w:right w:val="none" w:sz="0" w:space="0" w:color="auto"/>
      </w:divBdr>
      <w:divsChild>
        <w:div w:id="248512663">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 w:id="1438716877">
      <w:bodyDiv w:val="1"/>
      <w:marLeft w:val="0"/>
      <w:marRight w:val="0"/>
      <w:marTop w:val="0"/>
      <w:marBottom w:val="0"/>
      <w:divBdr>
        <w:top w:val="none" w:sz="0" w:space="0" w:color="auto"/>
        <w:left w:val="none" w:sz="0" w:space="0" w:color="auto"/>
        <w:bottom w:val="none" w:sz="0" w:space="0" w:color="auto"/>
        <w:right w:val="none" w:sz="0" w:space="0" w:color="auto"/>
      </w:divBdr>
      <w:divsChild>
        <w:div w:id="142352512">
          <w:marLeft w:val="0"/>
          <w:marRight w:val="0"/>
          <w:marTop w:val="0"/>
          <w:marBottom w:val="0"/>
          <w:divBdr>
            <w:top w:val="none" w:sz="0" w:space="0" w:color="auto"/>
            <w:left w:val="none" w:sz="0" w:space="0" w:color="auto"/>
            <w:bottom w:val="none" w:sz="0" w:space="0" w:color="auto"/>
            <w:right w:val="none" w:sz="0" w:space="0" w:color="auto"/>
          </w:divBdr>
        </w:div>
      </w:divsChild>
    </w:div>
    <w:div w:id="18065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59295-9BC2-406D-AA7A-A126B107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Көңлімқос Рахимбек Саятұлы</dc:creator>
  <cp:lastModifiedBy>Джумагулова Жанар Хамитовна</cp:lastModifiedBy>
  <cp:revision>3</cp:revision>
  <cp:lastPrinted>2025-08-08T05:15:00Z</cp:lastPrinted>
  <dcterms:created xsi:type="dcterms:W3CDTF">2025-08-12T07:03:00Z</dcterms:created>
  <dcterms:modified xsi:type="dcterms:W3CDTF">2025-08-27T13:12:00Z</dcterms:modified>
</cp:coreProperties>
</file>